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1099847029589,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7813460159)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1046165008867,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6165114882)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«ТПК СтройМаг»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1077847615735,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7840371959)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«Пента»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1047855161232,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7840309196)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«ТИС»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1107847033667,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7841420550)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«Техсервис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1022300641263,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2302044463)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«Молния»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1026101887206,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6142000092)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