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«Жилищно-коммунальное хозяйство Новосибирского научного центра Сибирского отделения Российской академии наук»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1025403647686,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5408181095)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«ИнжинирингСтрой»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1064214012510,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4214026596)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«Бастион»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1085403010945,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5403212511)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«Система»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1102225002582,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2225108141)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«ТЕРЕС-1Т»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1027800563471,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7801202820)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23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