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«Бранвен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1103925015523,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3906218957)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«Дорожное эксплуатационное предприятие №219»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1050400677095,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0408011023)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 «Гефест»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1102225004584,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2225109226)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«ПРОФЛАЙН»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1064706017397,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4706024811)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«Строительное Управление-19»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7814422156)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«ЭВОС-СПБ»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1077847670427,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7814389572)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