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3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«АтомТеплоЭлектроСеть»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1107746591512,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7705923730)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Производственная компания «САЛЮТ»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1105405002889,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5405408478)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1066027044203,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6027097128)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1092223010043,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«Мысковское ремонтно-строительное управление»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1094214001122,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4214031395)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19.07.2013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