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1092223005841,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2223971578)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1103850005599,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3811137058)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С-038-3811137058-14052010-600/5,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1103850005599,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3811137058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«СтройПерспектива»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1103454000473,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3428990990)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С-034-3428990990-05052010-577/2,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«СтройПерспектива»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1103454000473,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3428990990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1089847225016,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7804392199)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С-098-7804392199-26052010-630/3,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1089847225016,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7804392199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«ГЛОБУС»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1063906152144,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3906164395)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С-039-3906164395-26052010-629/4,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«ГЛОБУС»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1063906152144,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3906164395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ИНТЕГРА»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1117847073970,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7814493559)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С-098-7814493559-15042011-814/2,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ИНТЕГРА»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1117847073970,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7814493559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«Катунь»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1020400745683,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0411003872)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С-004-0411003872-10032010-393/4,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«Катунь»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1020400745683,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0411003872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1037821076226,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7810288414)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С-098-7810288414-12052010-590/3,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1037821076226,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7810288414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