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«ЛитВес»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1062302022793,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2302053490)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Проектно-строительная компания «Регион»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1075404023100,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5404335900)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П-054-5404335900-27042011-326/3,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Проектно-строительная компания «Регион»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1075404023100,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5404335900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«БетонСпецСтрой»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1076670038345,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6670196543)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П-066-6670196543-18062010-243/2,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«БетонСпецСтрой»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1076670038345,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6670196543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