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 Центр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23210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8289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ежий ветер С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6700079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2047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30176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2175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бюджетного учреждения ТехКонтрольСтрой» муниципального образования «Гвардейский район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27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65016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га-77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6469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279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инека инжиниринг 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472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2503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