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рус-Э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0400495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603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Фасад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550010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030274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03027459-03092010-71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Фасад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550010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030274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нологии и Реконструкция Сете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19341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4667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46678-15072011-84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нологии и Реконструкция Сете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19341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4667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5110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1997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19977-09122009-030/7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5110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1997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ИСИ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78103073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2724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027243-09122009-02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ИСИ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78103073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02724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нологии МеталлоКонструкци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78471833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4544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6454450-20062012-912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нологии МеталлоКонструкци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784718338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64544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