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НОВОСИБИРСК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87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71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ов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13905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0328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3032899-31082011-34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ов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13905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0328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ектно Строительная Компания ГидроНау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39260411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6800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9-3906268002-04072012-377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ектно Строительная Компания ГидроНаук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239260411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6800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-АЛЬЯН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47150181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1501791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47-4715017916-29122009-03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-АЛЬЯН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47150181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1501791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