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1079847037467,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7813366798)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1035004902228,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5026009984)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«БАЛТМОНТАЖ - XXI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1037843102857,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7825427526)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