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11/2016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24.10.2016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октября 2016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>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E33989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>выявленных в ходе плановых проверок членов Партнерства, по представлению Контрольного</w:t>
      </w:r>
      <w:r w:rsidRPr="00E33989">
        <w:rPr>
          <w:sz w:val="22"/>
          <w:szCs w:val="22"/>
        </w:rPr>
        <w:t xml:space="preserve"> </w:t>
      </w:r>
      <w:r w:rsidRPr="00031E6A">
        <w:rPr>
          <w:sz w:val="22"/>
          <w:szCs w:val="22"/>
        </w:rPr>
        <w:t>комитета</w:t>
      </w:r>
      <w:r w:rsidRPr="00E33989">
        <w:rPr>
          <w:sz w:val="22"/>
          <w:szCs w:val="22"/>
        </w:rPr>
        <w:t>:</w:t>
      </w:r>
    </w:p>
    <w:p w:rsidR="00FD381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2.1. Общество с ограниченной ответственностью «Викбор»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6150005640, ОГРН 1026102228921) </w:t>
      </w:r>
    </w:p>
    <w:p w:rsidR="00C01AB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2.2. Общество с ограниченной ответственностью «Строй-Кон»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3906291971, ОГРН 1133926012923) </w:t>
      </w:r>
    </w:p>
    <w:p w:rsidR="00C01AB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2.3. Общество с ограниченной ответственностью «Монтаж Плюс»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2343019240, ОГРН 1072343000740) </w:t>
      </w:r>
    </w:p>
    <w:p w:rsidR="00C01AB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2.4. Общество с ограниченной ответственностью «Дельта-сервис»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7806339673, ОГРН 5067847100503) </w:t>
      </w:r>
    </w:p>
    <w:p w:rsidR="00C01AB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2.5. Общество с ограниченной ответственностью «Иснес»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7818005330, ОГРН 1027808867558) </w:t>
      </w:r>
    </w:p>
    <w:p w:rsidR="00C01AB4" w:rsidRPr="00E33989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FD381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3.1. Общество с ограниченной ответственностью «БСК»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7804427074, ОГРН 1099847009217)</w:t>
      </w:r>
    </w:p>
    <w:p w:rsidR="00FD381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3.2. Общество с ограниченной ответственностью «КВОЛИТЕК»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7801377883, ОГРН 1057810184354)</w:t>
      </w:r>
    </w:p>
    <w:p w:rsidR="00FD3814" w:rsidRPr="00E33989" w:rsidRDefault="00FD3814" w:rsidP="00031E6A">
      <w:pPr>
        <w:rPr>
          <w:sz w:val="22"/>
          <w:szCs w:val="22"/>
        </w:rPr>
      </w:pPr>
      <w:r w:rsidRPr="00E33989">
        <w:rPr>
          <w:sz w:val="22"/>
          <w:szCs w:val="22"/>
        </w:rPr>
        <w:t>3.3. Общество с ограниченной ответственностью «Искитимспецмонтаж» (</w:t>
      </w:r>
      <w:r w:rsidRPr="00031E6A">
        <w:rPr>
          <w:sz w:val="22"/>
          <w:szCs w:val="22"/>
        </w:rPr>
        <w:t>ИНН</w:t>
      </w:r>
      <w:r w:rsidRPr="00E33989">
        <w:rPr>
          <w:sz w:val="22"/>
          <w:szCs w:val="22"/>
        </w:rPr>
        <w:t xml:space="preserve"> 5446013133, ОГРН 1115483001182)</w:t>
      </w:r>
    </w:p>
    <w:p w:rsidR="00FD3814" w:rsidRPr="00E33989" w:rsidRDefault="00FD3814" w:rsidP="00031E6A">
      <w:pPr>
        <w:rPr>
          <w:sz w:val="22"/>
          <w:szCs w:val="22"/>
        </w:rPr>
      </w:pPr>
    </w:p>
    <w:p w:rsidR="00FD3814" w:rsidRPr="00E33989" w:rsidRDefault="00FD3814" w:rsidP="00031E6A"/>
    <w:p w:rsidR="00FD3814" w:rsidRPr="00E33989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989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3398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6B53F6" w:rsidRPr="006B53F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3398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3398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3398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33989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«Викбор»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6150005640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1026102228921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С-061-6150005640-28012010-201/4,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августа 2016 г.</w:t>
      </w:r>
    </w:p>
    <w:p w:rsidR="001440FF" w:rsidRPr="00E33989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lastRenderedPageBreak/>
        <w:t>Кон»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3906291971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1133926012923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С-039-3906291971-07082013-998/1,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сентября 2016 г.</w:t>
      </w:r>
    </w:p>
    <w:p w:rsidR="001440FF" w:rsidRPr="00E33989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2343019240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1072343000740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С-023-2343019240-14012010-130/5,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сентября 2016 г.</w:t>
      </w:r>
    </w:p>
    <w:p w:rsidR="001440FF" w:rsidRPr="00E33989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«Дельта-сервис»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7806339673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5067847100503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33989">
        <w:rPr>
          <w:rFonts w:ascii="Times New Roman" w:hAnsi="Times New Roman" w:cs="Times New Roman"/>
          <w:sz w:val="22"/>
          <w:szCs w:val="22"/>
        </w:rPr>
        <w:t xml:space="preserve"> </w:t>
      </w:r>
      <w:r w:rsidR="00E33989" w:rsidRPr="00E33989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E33989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31 августа 2016 г.</w:t>
      </w:r>
    </w:p>
    <w:p w:rsidR="001440FF" w:rsidRPr="00E33989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«Иснес»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7818005330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1027808867558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33989">
        <w:rPr>
          <w:rFonts w:ascii="Times New Roman" w:hAnsi="Times New Roman" w:cs="Times New Roman"/>
          <w:sz w:val="22"/>
          <w:szCs w:val="22"/>
        </w:rPr>
        <w:t xml:space="preserve"> </w:t>
      </w:r>
      <w:r w:rsidR="00E33989" w:rsidRPr="00E33989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E33989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6B53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№ С-098-7818005330-01022010-220/7</w:t>
      </w:r>
      <w:r w:rsidR="00E33989">
        <w:rPr>
          <w:rFonts w:ascii="Times New Roman" w:hAnsi="Times New Roman" w:cs="Times New Roman"/>
          <w:sz w:val="22"/>
          <w:szCs w:val="22"/>
        </w:rPr>
        <w:t xml:space="preserve">, </w:t>
      </w:r>
      <w:r w:rsidRPr="00FA638B">
        <w:rPr>
          <w:rFonts w:ascii="Times New Roman" w:hAnsi="Times New Roman" w:cs="Times New Roman"/>
          <w:sz w:val="22"/>
          <w:szCs w:val="22"/>
        </w:rPr>
        <w:t>в отноше</w:t>
      </w:r>
      <w:r w:rsidR="00E33989">
        <w:rPr>
          <w:rFonts w:ascii="Times New Roman" w:hAnsi="Times New Roman" w:cs="Times New Roman"/>
          <w:sz w:val="22"/>
          <w:szCs w:val="22"/>
        </w:rPr>
        <w:t xml:space="preserve">нии определенных видов работ, </w:t>
      </w:r>
      <w:r w:rsidRPr="00FA638B">
        <w:rPr>
          <w:rFonts w:ascii="Times New Roman" w:hAnsi="Times New Roman" w:cs="Times New Roman"/>
          <w:sz w:val="22"/>
          <w:szCs w:val="22"/>
        </w:rPr>
        <w:t>которые оказывают влияние на безопасность особо опасных, технически сложных и уникальных объектов капитального строительства (нумерация видов работ приводится согласно Приказу Минрегиона РФ от 30.12.2009</w:t>
      </w:r>
      <w:r w:rsidRPr="004E65A2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  на 60 (шестьдесят) календарных дней до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29 июля 2016 г.</w:t>
      </w:r>
    </w:p>
    <w:p w:rsidR="001440FF" w:rsidRPr="00E33989" w:rsidRDefault="001440FF" w:rsidP="00957776">
      <w:pPr>
        <w:rPr>
          <w:sz w:val="22"/>
          <w:szCs w:val="22"/>
        </w:rPr>
      </w:pPr>
    </w:p>
    <w:p w:rsidR="001440FF" w:rsidRPr="00E33989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3989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33989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7804427074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1099847009217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августа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С-098-7804427074-21122009-047/5,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С-098-7804427074-21122009-047/5,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«КВОЛИТЕК»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7801377883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1057810184354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июля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 xml:space="preserve">допуске к </w:t>
      </w:r>
      <w:r w:rsidR="005B67CE">
        <w:rPr>
          <w:rFonts w:ascii="Times New Roman" w:hAnsi="Times New Roman" w:cs="Times New Roman"/>
          <w:sz w:val="22"/>
          <w:szCs w:val="22"/>
        </w:rPr>
        <w:lastRenderedPageBreak/>
        <w:t>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С-098-7801377883-23122009-078/4,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С-098-7801377883-23122009-078/4,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«Искитимспецмонтаж»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5446013133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1115483001182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18 июля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33989">
        <w:rPr>
          <w:rFonts w:ascii="Times New Roman" w:hAnsi="Times New Roman" w:cs="Times New Roman"/>
          <w:sz w:val="22"/>
          <w:szCs w:val="22"/>
        </w:rPr>
        <w:t xml:space="preserve"> и </w:t>
      </w:r>
      <w:r w:rsidR="00E33989" w:rsidRPr="00E33989">
        <w:rPr>
          <w:rFonts w:ascii="Times New Roman" w:hAnsi="Times New Roman" w:cs="Times New Roman"/>
          <w:sz w:val="22"/>
          <w:szCs w:val="22"/>
        </w:rPr>
        <w:t>условиям членства</w:t>
      </w: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и</w:t>
      </w:r>
    </w:p>
    <w:p w:rsidR="001440FF" w:rsidRPr="00FA638B" w:rsidRDefault="001440FF" w:rsidP="001440F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С-054-5446013133-03082011-850/2,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440FF" w:rsidRDefault="00FD3814" w:rsidP="001440FF"/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2475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4A" w:rsidRDefault="00266D4A">
      <w:r>
        <w:separator/>
      </w:r>
    </w:p>
  </w:endnote>
  <w:endnote w:type="continuationSeparator" w:id="0">
    <w:p w:rsidR="00266D4A" w:rsidRDefault="002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989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4A" w:rsidRDefault="00266D4A">
      <w:r>
        <w:separator/>
      </w:r>
    </w:p>
  </w:footnote>
  <w:footnote w:type="continuationSeparator" w:id="0">
    <w:p w:rsidR="00266D4A" w:rsidRDefault="0026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66D4A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989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19</cp:revision>
  <cp:lastPrinted>2011-08-10T06:56:00Z</cp:lastPrinted>
  <dcterms:created xsi:type="dcterms:W3CDTF">2011-08-28T21:00:00Z</dcterms:created>
  <dcterms:modified xsi:type="dcterms:W3CDTF">2016-10-24T13:50:00Z</dcterms:modified>
</cp:coreProperties>
</file>