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«Геостэл»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1107847033909,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7840426622)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С-098-7840426622-18062010-671/3,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«Геостэл»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1107847033909,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7840426622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1083443006789,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3443088592)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С-034-3443088592-03092010-717/4,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1083443006789,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3443088592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«СеверСнабСтрой»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1081435582491,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1435209730)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С-014-1435209730-20082010-703/2,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«СеверСнабСтрой»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1081435582491,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1435209730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«Ленстройпроект»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5067847420361,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7814355020)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С-098-7814355020-03062011-834/2,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«Ленстройпроект»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5067847420361,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7814355020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«Инжиниринговая компания Гемини»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1105476006129,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5401336261)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С-054-5401336261-11082010-690/2,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«Инжиниринговая компания Гемини»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1105476006129,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5401336261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«Прогресс»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1083254001930,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3254501302)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С-032-3254501302-20082010-704/3,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«Прогресс»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1083254001930,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3254501302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1106182002112,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6125029091)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С-061-6125029091-20092010-727/4,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1106182002112,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6125029091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