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«АЗИМУТ-ПРОЕКТ»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1023901867131,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3908016106)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«ВЕКТОР»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1117847253017,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7802754439)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