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ПластКомпоз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99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9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аскад-3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39020061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110096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СтройТон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3230067966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30204663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46630-29122009-120/8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Межотраслевое Управление «Запад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96183003806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15006162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1620-07052010-587/6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