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«БетонСпецСтрой»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1076670038345,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6670196543)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«Землеустройство»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1084703005342,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4703107019)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«Управляющая компания Сибирьэнерго»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1085406020677,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5406442619)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«СтандартПроект»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1082329000159,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2329022322)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Копычины-Лоренса Сергея Максимовича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305390611500011,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390603930481)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«СевероЗападнаяПроектнаяГруппа»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1097847323716,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7842419155)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1083906003708,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«Институт экономики города и управления инвестициями в строительстве»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1073905012631,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3904087184)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«КУБ-систем»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1047796117203,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7734509147)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 21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1087746599148,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7734584560)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«Сибпроекткомп»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1077203053586,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7204116052)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