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февраля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Дутчака Ивана Васильевича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307784726100402,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782020834640)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«Азимут Архитектура»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1077847062468,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7804357300)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«АРДА»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1089847071412,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7801461736)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«БАЛТИКОН»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1037843077711,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7825503760)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Объединение «Комплексная автоматизация»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1047855153378,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7838310691)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«Сибирская перспектива»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1082221001477,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2221131446)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«ИНТЕГРИРОВАННЫЕ СИСТЕМЫ БЕЗОПАСНОСТИ»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1069847129747,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7811343026)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«Студия «Практика»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1037828038170,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7813181927)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1037800047262,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7801201569)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«Институт проектирования, реконструкции и реставрации объектов городской среды «Тюменьпроект»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1037200580328,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7202113779)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«Гидропроект-Алтай»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1042202161540,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2224085117)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«Экосервис»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1021100896728,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1106013442)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«ИРМАСТ-М»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1027700284952,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7743035038)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«Сибинтех-Проект»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1082221007725,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2221137568)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«Абрис»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1077847128853,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7801432238)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1037811063135,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7805253374)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«Континент-Проект»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1082304002142,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2304053495)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«Содис Строй Рекон»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1027804857090,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7801181263)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«ЛЭРС-Проект»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1032700334435,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2721109488)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04 февраля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