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1035010653700,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5053026322)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1062225020725,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2225079250)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1069847131640,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7804335923)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«Инжиниринговая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1077847436259,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7804364515)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«СЦ Хэлп»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1027739908459,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7733020434)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1027802520965,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7804097323)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1092452000024,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2452036140)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«СтройПрофиль»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1089847333322,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7801477599)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«Финансово-строительная компания Омега»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1052202168138,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2224092234)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«АНИС»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1089847308440,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7841392430)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1067847424083,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7811338562)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«Декор»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1024201392247,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4214001182)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1077847400894,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7814374311)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«Престиж»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1077847558920,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7806368184)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«ЗЕЛЕНЫЕ ДОРОГИ»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1037825030352,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7811099265)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города Байконур «Ремонт и строительство № 1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1039923001150,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9901006068)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«Агро-Сервис»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1095908000594,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5908043015)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1083925012786,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3904601515)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1057812514143,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«Вентиляционные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1089847032626,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7839374433)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«Аверс-Строй»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1076673016947,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6673166321)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«ВерНон»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1087847018566,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7840404749)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«ПитерСтройИнвест»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1089847226446,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7811408636)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«ДИАПАЗОН»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1027807560967,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7814027004)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«Петербургская Буровая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1097847260785,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7814447270)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«ФОМИЧ»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1037804053209,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7802018044)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«Архитектурно-строительный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1097847325399,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7806420927)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«ДЕВАЛИ»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1075406004662,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5406384389)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1089847080344,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7842379079)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1079847120374,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7802415228)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«ГОТИКА»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1037843089228,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7825682861)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1107847069527,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7805514604)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«ТЦ 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1064715015848,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4715016888)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1099847033362,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7811452233)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«Освейская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1077847413445,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7810476545)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«УниверсалСтройПроект»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1085905009563,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5905266905)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«Промэнергоблок»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1097847241975,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7811443768)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«Максистрой»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1107847043391,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7802494413)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3906164395)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1089847225016,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7804392199)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«Сидней»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1037825033234,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7811135435)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«Пента»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1047855161232,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7840309196)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1064706017397,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4706024811)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«ПетроБизнес»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1097847329876,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7838434538)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«Стандарт-Строй»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1077847015971,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7841354233)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1089847058388,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7813405077)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7814396851)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Научно-производственное объединение «ОРИОН - АКВА»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1035402456407,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5406154667)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