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«Освейская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1077847413445,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7810476545)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1103454000473,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3428990990)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1085402022727,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