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Акционерное общество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«ТСК «Протэк»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1073443003941,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3443078234)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«СтройВектор»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1122224000667,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2224151200)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06.11.2015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«Искитимспецмонтаж»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1115483001182,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5446013133)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С-054-5446013133-03082011-850/2,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