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4.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1127847049230,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7816529842)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«ПРОМЭНЕРГОТРАНС»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1167847324380,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7838057664)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«ДОНТРАСТ»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1026101937245,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6143037754)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1076168003900,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6168017823)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1122224003780,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2224154226)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«Дорожник»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1076130000187,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6130703630)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«Сапфир»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1076150007020,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6150051823)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«КОРОНАР»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1086150003675,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6150058152)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«ЮгЭнергоРесурс»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1076150002114,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6150053940)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1046121000155,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6121007322)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1027200847035,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7224021602)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5.10.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305614216700011,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615507696718)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5.11.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307615004500020,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615002477111)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5.12.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«Волгодонская городская электрическая сеть»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1026101926070,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6143014080)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