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96/2016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декабря 2016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4DD72551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«Викбор»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1026102228921,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6150005640)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С-061-6150005640-28012010-201/4,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«Викбор»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1026102228921,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6150005640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«Строй-Кон»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1133926012923,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3906291971)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С-039-3906291971-07082013-998/1,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«Строй-Кон»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1133926012923,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3906291971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«Е.С.-Строй»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1113926036641,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3906248461)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4135 от 22.12.2016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«Е.С.-Строй»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1113926036641,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3906248461)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4135 от 22.12.2016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«Е.С.-Строй»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1113926036641,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3906248461)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«ЮГСПЕЦИНЖСТРОЙ»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1146195005351,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6167125456)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4124 от 20.12.2016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«ЮГСПЕЦИНЖСТРОЙ»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1146195005351,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6167125456)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3479 от 22.11.2016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«ЮГСПЕЦИНЖСТРОЙ»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1146195005351,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6167125456)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2 000 000 (два миллиона)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«Строительный Концерн - Алтайпромстрой»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1142224005439,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2224169631)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4120 от 20.12.2016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«Строительный Концерн - Алтайпромстрой»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1142224005439,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2224169631)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4120 от 20.12.2016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«Строительный Концерн - Алтайпромстрой»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1142224005439,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2224169631)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1 000 000 (один миллион)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«АКБ - 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1115908000900,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5908047690)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4129 от 22.12.2016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«АКБ - 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1115908000900,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5908047690)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4129 от 22.12.2016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«АКБ - 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1115908000900,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5908047690)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«Ампер»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1024700873922,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4704049391)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3648 от 28.11.2016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«Ампер»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1024700873922,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4704049391)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4134 от 22.12.2016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«Ампер»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1024700873922,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4704049391)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декабря 2016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