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98/2016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2016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«БЛИК 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1083022000445,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3001042094)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«Светлоярский»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1053458066848,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3426010902)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«АРСИДОН»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1086150001860,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6150056684)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«Гуковдорстрой»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1026102023573,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6144008410)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1026104371006,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6168046870)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1037800102273,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7801242519)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1027402542012,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7448000180)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МонтажТехСтрой»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1127847377240,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7839465384)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31.12.2016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2016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