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«КСК-Инжиниринг»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1107746126564,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7724738099)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01.01.2017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Открытым акционерным обществом «АтомЭнергоСбыт»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1027700050278,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7704228075)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П-077-7704228075-03092012-379/4,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Открытое акционерное общество «АтомЭнергоСбыт»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1027700050278,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7704228075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