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1142363000570,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2334025294)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СК «Югстроймонтаж»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1072334000903,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2334021525)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1084212001169,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4212027153)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1025000509357,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5001036552)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1172 от 26.05.2017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1025000509357,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5001036552)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1303 от 09.06.2017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«Тепловые сети Балашихи»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1025000509357,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5001036552)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1022201518019,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2224073168)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1263 от 08.06.2017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1022201518019,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2224073168)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1263 от 08.06.2017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«Алтайгазаппарат»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1022201518019,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2224073168)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Че»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1080411004960,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0411139866)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1266 от 08.06.2017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Че»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1080411004960,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0411139866)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1266 от 08.06.2017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Че»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1080411004960,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0411139866)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