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января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«ВотерПрайсИнвест»</w:t>
      </w:r>
      <w:r w:rsidR="00B9210B" w:rsidRPr="00241327">
        <w:rPr>
          <w:sz w:val="22"/>
          <w:szCs w:val="22"/>
          <w:lang w:val="en-US"/>
        </w:rPr>
        <w:t xml:space="preserve"> (ОГРН 1167847442290,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7810627096)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«ВотерПрайсИнвест»</w:t>
      </w:r>
      <w:r w:rsidRPr="00496A50">
        <w:rPr>
          <w:sz w:val="22"/>
          <w:szCs w:val="22"/>
        </w:rPr>
        <w:t xml:space="preserve"> (ОГРН 1167847442290,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7810627096)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«ВотерПрайсИнвест»</w:t>
      </w:r>
      <w:r w:rsidRPr="00823293">
        <w:rPr>
          <w:sz w:val="22"/>
          <w:szCs w:val="22"/>
        </w:rPr>
        <w:t xml:space="preserve"> (ОГРН 1167847442290, ИНН 7810627096)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января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