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1092223010043,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1102204000733,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2245004341)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КРУС-Запад»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1109847042458,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7814487604)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«Донпроектэлектро»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1026102223740,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6150010680)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5001029450)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«Валдай»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1037835031596,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7816196449)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19.04.2011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20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