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1062222003491,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2222054530)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«ГлавСтрой»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1089848030909,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7814423181)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22.04.2011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«Корпорация ЛенАэроПроект»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1077847635546,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7839367404)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