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«Промтехкомплект»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1107847348289,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7806441490)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«Практика»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1037828038170,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7813181927)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«Созидание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1025002691889,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5021003001)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