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1057812658067,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7802335460)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1097847228379,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7842413883)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многопрофильная фирма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1026102225379,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6150015960)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1022601985977,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2635057966)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1106182002112,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6125029091)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«УниСтрой»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1095405024835,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5405402660)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25.09.2011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Открытым акционерным обществом «Дорожное эксплуатационное предприятие №219»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1050400677095,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0408011023)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С-004-0408011023-04062010-642/2,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Открытое акционерное общество «Дорожное эксплуатационное предприятие №219»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1050400677095,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0408011023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«СМ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5067847115254,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7813350861)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С-098-7813350861-09062010-649/2,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«СМ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5067847115254,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7813350861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«Современное строительство и отделка»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1097847304972,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7811447811)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С-098-7811447811-18062010-673/2,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«Современное строительство и отделка»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1097847304972,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7811447811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Муниципальным казенным учреждением Департамент строительства и городского развития Администрации города Новочеркасска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1026102234124,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6150030990)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С-061-6150030990-30092010-733/1,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Муниципальное казенное учреждение Департамент строительства и городского развития Администрации города Новочеркасска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1026102234124,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6150030990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26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