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но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бразец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22240028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460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Строй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10079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764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МОНТАЖ - XXI ВЕ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1028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275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рм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19223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0651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Финансово-строительная компания Омега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52202168138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2224092234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08.11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09 но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