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«Катуньгэсстрой»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1020400664129,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0408002981)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«Птерро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1023902052954,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3912008179)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«Дорожное ремонтно-строительное управление № 30»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1135044000442,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5044086420)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1057811285575,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7816368271)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«Феникс-Строй»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1076150000134,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6150052961)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«ЕвроСтиль»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1086125000830,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6125027665)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«Строительно-производственное объединение СФЕРА»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1107847026143,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7839418024)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«Новые Технологии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5067847486328,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7811357519)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«АНКОНА»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1079847130285,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7804378331)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