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НБ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10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90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ста Строительные проект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15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373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т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5900132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21086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