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«Строительство и Маркетинг - 2000»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1027200847035,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7224021602)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1076168003900,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6168017823)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«АлтайКапиталСтрой»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1122225002250,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2225128420)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«Научно-производственное объединение «Аксиома»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1107847057306,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7813465742)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«Ампер»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1024700873922,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4704049391)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«ПГС-Баланс»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1076150006767,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6150051566)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«БалтСтрой»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1089847058388,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7813405077)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«РосТеплоСтрой»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1089847032241,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7814396851)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«СтройРесурс»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1116182003618,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6155062586)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2.10.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«Эльмит 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1053459046189,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3441028037)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«Лада»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1102225000701,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2221177240)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ТОМАС»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1037843017222,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7825090079)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«РЕГИОНСТРОЙ»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1102223003178,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2223575616)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1046121000155,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6121007322)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«ЮгСтрой»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1096183003993,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6150061821)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«ОПУС»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5067847123504,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7840342066)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«Бурводстрой+»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1095012002634,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5012054634)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«СТРОЙПРАКТИКА»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1077762491982,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7724639813)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