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47/2012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июня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«Грант-СБ»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1056166007920,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6166052597)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Федеральное государственное унитарное предприятие «Новосибирский завод искусственного волокна»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1025404792291,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5446102190)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«Сибирская перспектива»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1082221001477,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2221131446)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«КВОЛИТЕК»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1057810184354,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7801377883)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«Городские инженерные системы»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1063459051853,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3442085006)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«Городское проектно-эксплуатационное бюро»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1043400415563,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3445066202)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«Геостэл»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1107847033909,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7840426622)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2.8.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«АСПроект»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1115543009559,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5501232410)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июня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