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53/2012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04 июня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«ЮгРесурс»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1106182002112,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6125029091)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«Дор-Строй-Сервис»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1026102217130,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6150037240)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«Тоун СПб»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1117847071627,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7804456011)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«Водоснабжение и водоотведение»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1077761625985,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7715671257)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04 июня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