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1089847317780,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7816448382)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«Меркурьев и 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1065917002469,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5917593209)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1073435007117,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3435089070)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«Логран»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1115476059346,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5406670164)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1056154022066,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6154095613)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1065405135432,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5405330133)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«Региональный Инженерный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1076166000085,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6166059828)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1095401000628,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5401320945)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5407053848)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Строительно-Производственная Компания «АрмСибСтрой»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1085401022827,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5401317847)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«ОБРАКС СБМ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5077746796860,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7718645255)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5067847100503,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7806339673)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