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модульного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1023901009714,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3906087158)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Теплоэнергетическая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1063906075639,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3906151646)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1085190015668,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5190193798)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«Росиндустрия»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1079847032990,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7810086111)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