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«Музейное оборудование и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1067847172623,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7814335859)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«Фасадстрой»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1037811019091,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7805234702)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«СМУ-30»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1089847305547,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7838412559)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«Армавиртеплоэнерго»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1092302001472,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2302061557)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1096195004014,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6163099188)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1064214012510,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4214026596)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1057811285575,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7816368271)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