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«Строительство и Архитектура»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1085406033877,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5406501504)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Проектная мастерская «Алтай»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1072223005425,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2223964355)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государственное бюджетное учреждение Ростовской области «Ростовоблстройзаказчик»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1096195004014,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6163099188)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«СевероЗападнаяПроектнаяГруппа»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1097847323716,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7842419155)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20.12.2012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