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«Усинский нефтеперерабатывающий завод»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1051100788650,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1106019606)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«СТРОЙТРАНС»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1069847504198,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7810081561)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«Наружные трубопроводы»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1026602949977,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6659080224)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«СоюзПетроСервис»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1047839012869,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7840014890)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казенное учреждение «Служба заказчика Зеленоградского района»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1053909026082,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3918027065)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«МК-Альянс»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1079847050524,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7813367199)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«Технадзор»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1066164174570,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6164248604)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«Искитимспецмонтаж»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1115483001182,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5446013133)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«Научно-производственное предприятие «ТЕЛЕКС Линия Трудовых Династий»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1036604392461,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6662007834)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Теплоэнергетическая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1063906075639,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3906151646)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«Кредо»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1086164009986,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6164283849)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«Ремонтно-Строительное Управление «МАСТЕР»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1099847022912,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7813459795)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«Всевлесстрой»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1034700557000,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4703062174)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«ДонЕвроСтрой»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1066150029659,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6150052552)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Научно-производственное объединение «ОРИОН - АКВА»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1035402456407,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5406154667)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«БСК-плюс»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1083925012786,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3904601515)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«Енисей»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1025202195941,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5254022399)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1077847599917,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7816423814)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Монтажная Компания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1092302002099,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2302062230)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«СтройТон-М»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1072302000550,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2302054366)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«Северо-Кавказский Завод Металлоконструкций»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1082357000241,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2357006876)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