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«Техсервис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1022300641263,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2302044463)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«ПГС-Баланс»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1076150006767,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6150051566)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«Молния»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1026101887206,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6142000092)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1099847029589,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7813460159)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1046165008867,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6165114882)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«ТПК СтройМаг»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1077847615735,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7840371959)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«Пента»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1047855161232,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7840309196)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«ТИС»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1107847033667,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7841420550)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