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29/2010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21 апреля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3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«Стар»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1040400759068,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0411118922)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«Союзмонтаж»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1105405006200,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5405409552)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«АРТТЕХСТРОЙ-ТСК»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1104205001515,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4205193248)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«Импульс»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1082224006325,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2224123980)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«Новая Сибирская Компания»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1032202268592,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2225059455)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«Партнерская Компания «ФаворитМегаСтрой»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1102223001473,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2222785748)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2.7.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«Центр качества строительства»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1096164005156,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6164292900)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2.8.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«Сибирь-мехатроника»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1035401492906,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5404105209)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2.9.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«ЖелезоБетон»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1083925006802,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3917500754)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«КВВ»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1022201525521,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2224069108)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«СтройПласт-Юг»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1072646002110,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2624030930)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3.3.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«Карат»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1022300632881,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2302038822)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3.4.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«ВерНон»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1087847018566,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7840404749)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3.5.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«Бийское Строительное Управление»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1022200553330,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2204010635)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3.6.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«НОРТО»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1066150028559,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6150049768)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3.7.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«Производственно-строительно-монтажное предприятие «Дедал»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1062223012169,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2223053930)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3.8.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«Ремстроймонтаж»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1022300637776,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2302036945)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21 апреля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