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«ЛИСИ-строй»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1057810307334,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7810027243)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«Сапфир»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1076150007020,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6150051823)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«Полипласт»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1026102221309,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6150011965)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«Полипласт»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1086150000639,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6150056042)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«Элитстрой-Чемал»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1080411004960,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0411139866)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1085407000931,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5407046022)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«Элитстрой-Онгудай»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1080404000533,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0404007530)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1077203027637,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7204110100)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Строительно-Производственная Компания «АрмСибСтрой»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1085401022827,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5401317847)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«АРАМИС»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1092225007027,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2225106698)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«Катунь»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1020400745683,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0411003872)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«ГЕРМЕТСТРОЙ»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1077763210447,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7714720952)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«Наяда-Урал»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1096672019773,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6672306777)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«Инженерный центр «Альтерэн»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1037816041702,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7806045680)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«ФОМИЧ»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1037804053209,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7802018044)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«Каскад-3»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1023902006171,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3911009606)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1076168003900,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6168017823)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«Балтдордомстрой»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1073905022938,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3905086666)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«ТехСтройАктив»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1056162033366,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6162044002)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1072223002390,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2223058015)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«Элитстрой-Кош-Агач»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1080401002791,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0401006680)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