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«Промстройтехмонтаж»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1108905000820,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8905047722)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«Запад ИнвестГаз»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1123926067187,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3906278219)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«ОП-Групп»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1079847139910,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7802416951)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«Гермес»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1085404004894,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5404352529)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С-054-5404352529-23042010-547/5,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«Гермес»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1085404004894,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5404352529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«Фаворит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1043909003665,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3912010361)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С-039-3912010361-19042010-534/2,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«Фаворит 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1043909003665,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3912010361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«Партнерская Компания «ФаворитМегаСтрой»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1102223001473,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2222785748)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С-022-2222785748-21042010-540/4,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«Партнерская Компания «ФаворитМегаСтрой»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1102223001473,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2222785748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