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310222505000051,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222504490500)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«Феникс-Строй»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1076150000134,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6150052961)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01.10.2013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«Старлинг»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1103460000786,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3445108808)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П-034-3445108808-10062011-338/2,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«Старлинг»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1103460000786,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3445108808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«Студия «ЗУМ-Дизайн»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1097847333253,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7805505840)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П-098-7805505840-02062010-230/3,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«Студия «ЗУМ-Дизайн»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1097847333253,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7805505840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«Пегас»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1089847365156,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7838415197)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П-098-7838415197-02062010-229/3,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«Пегас»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1089847365156,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7838415197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«КБ ЛЕНТЕХПРОЕКТ»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1107847131457,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7801518566)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П-098-7801518566-15092010-269/2,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«КБ ЛЕНТЕХПРОЕКТ»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1107847131457,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7801518566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«Архитектура» города Алейска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1022200508956,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2201000741)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П-022-2201000741-10092010-266/2,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унитарное предприятие «Архитектура» города Алейска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1022200508956,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2201000741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«Архитектурное бюро «Форм унд Раум»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1089848022736,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7842397279)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П-098-7842397279-20122010-291/2,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«Архитектурное бюро «Форм унд Раум»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1089848022736,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7842397279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«Газэнергомонтаж»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1025501594711,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5515010062)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П-055-5515010062-01072011-340/3,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«Газэнергомонтаж»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1025501594711,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5515010062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