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«Барнаульская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1122224003780,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2224154226)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«Музейные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1037832002966,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7814068709)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«Южная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1083435005763,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3435095740)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1062222003491,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2222054530)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«АВМ 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1042201643252,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2204017285)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С-022-2204017285-08112010-741/2,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«АВМ 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1042201643252,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2204017285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«СибПромСтрой»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1102225010986,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2221181366)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С-022-2221181366-01122010-754/3,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«СибПромСтрой»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1102225010986,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2221181366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1106193004610,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6166075410)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С-061-6166075410-26112010-746/2,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1106193004610,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6166075410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«Гарант»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1055473055901,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5408234205)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С-054-5408234205-09042010-496/4,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«Гарант»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1055473055901,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5408234205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«Современные строительные технологии»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1083925013480,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3917501437)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С-039-3917501437-10092010-722/2,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«Современные строительные технологии»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1083925013480,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3917501437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«Дорожно-строительная компания «Волга»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1093460001007,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3445102002)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С-034-3445102002-20102010-739/3,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«Дорожно-строительная компания «Волга»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1093460001007,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3445102002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«Строительное управление - 1»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1102224000768,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2224138792)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С-022-2224138792-29062011-836/2,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«Строительное управление - 1»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1102224000768,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2224138792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«Балтийский Строительный Альянс»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1089848013111,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7810534691)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С-098-7810534691-15122010-760/2,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«Балтийский Строительный Альянс»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1089848013111,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7810534691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«ЭнергоСтройТехнология»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1077847239612,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7813374799)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С-098-7813374799-27092010-731/2,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«ЭнергоСтройТехнология»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1077847239612,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7813374799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1115476039084,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5404434482)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С-054-5404434482-29062011-838/2,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1115476039084,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5404434482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«Пром-АЛЬЯНС»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1064715018125,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4715017916)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С-047-4715017916-21012010-154/3,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«Пром-АЛЬЯНС»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1064715018125,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4715017916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