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«Стандарт-Строй»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1077847015971,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7841354233)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«Ралекс»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1023901955824,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3909024156)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«Зеленое хозяйство»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1026101939962,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6143048097)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«ГРАНИТ»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1047855179965,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7802313057)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13.05.2014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